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96" w:rsidRPr="00B912A0" w:rsidRDefault="00DA278F" w:rsidP="00275DEC">
      <w:pPr>
        <w:spacing w:after="120"/>
        <w:ind w:left="425"/>
        <w:jc w:val="center"/>
        <w:rPr>
          <w:rFonts w:ascii="Arial" w:hAnsi="Arial" w:cs="Arial"/>
          <w:b/>
          <w:sz w:val="28"/>
          <w:szCs w:val="28"/>
        </w:rPr>
      </w:pPr>
      <w:r w:rsidRPr="00B912A0">
        <w:rPr>
          <w:rFonts w:ascii="Arial" w:hAnsi="Arial" w:cs="Arial"/>
          <w:b/>
          <w:sz w:val="28"/>
          <w:szCs w:val="28"/>
        </w:rPr>
        <w:t>Tennis de table</w:t>
      </w:r>
      <w:r w:rsidR="001B0A78" w:rsidRPr="00B912A0">
        <w:rPr>
          <w:rFonts w:ascii="Arial" w:hAnsi="Arial" w:cs="Arial"/>
          <w:b/>
          <w:sz w:val="28"/>
          <w:szCs w:val="28"/>
        </w:rPr>
        <w:t> : examen ponctuel obligatoire</w:t>
      </w:r>
    </w:p>
    <w:p w:rsidR="009D0C41" w:rsidRPr="00B912A0" w:rsidRDefault="009D0C41" w:rsidP="00042178">
      <w:pPr>
        <w:spacing w:after="120"/>
        <w:ind w:left="425"/>
        <w:rPr>
          <w:rFonts w:ascii="Arial" w:eastAsia="Arial" w:hAnsi="Arial" w:cs="Arial"/>
        </w:rPr>
      </w:pPr>
    </w:p>
    <w:p w:rsidR="009D0C41" w:rsidRPr="00B912A0" w:rsidRDefault="009D0C41" w:rsidP="00042178">
      <w:pPr>
        <w:spacing w:after="120"/>
        <w:ind w:left="425"/>
        <w:rPr>
          <w:rFonts w:ascii="Arial" w:eastAsia="Arial" w:hAnsi="Arial" w:cs="Arial"/>
          <w:sz w:val="22"/>
          <w:szCs w:val="22"/>
        </w:rPr>
      </w:pPr>
    </w:p>
    <w:p w:rsidR="00042178" w:rsidRPr="00B912A0" w:rsidRDefault="00042178" w:rsidP="00042178">
      <w:pPr>
        <w:spacing w:after="120"/>
        <w:ind w:left="425"/>
        <w:rPr>
          <w:rFonts w:ascii="Arial" w:eastAsia="Arial" w:hAnsi="Arial" w:cs="Arial"/>
          <w:b/>
          <w:bCs/>
          <w:sz w:val="22"/>
          <w:szCs w:val="22"/>
        </w:rPr>
      </w:pPr>
      <w:r w:rsidRPr="00B912A0">
        <w:rPr>
          <w:rFonts w:ascii="Arial" w:eastAsia="Arial" w:hAnsi="Arial" w:cs="Arial"/>
          <w:b/>
          <w:bCs/>
          <w:sz w:val="22"/>
          <w:szCs w:val="22"/>
        </w:rPr>
        <w:t>Principe</w:t>
      </w:r>
      <w:r w:rsidR="001B0A78" w:rsidRPr="00B912A0">
        <w:rPr>
          <w:rFonts w:ascii="Arial" w:eastAsia="Arial" w:hAnsi="Arial" w:cs="Arial"/>
          <w:b/>
          <w:bCs/>
          <w:sz w:val="22"/>
          <w:szCs w:val="22"/>
        </w:rPr>
        <w:t>s</w:t>
      </w:r>
      <w:r w:rsidRPr="00B912A0">
        <w:rPr>
          <w:rFonts w:ascii="Arial" w:eastAsia="Arial" w:hAnsi="Arial" w:cs="Arial"/>
          <w:b/>
          <w:bCs/>
          <w:sz w:val="22"/>
          <w:szCs w:val="22"/>
        </w:rPr>
        <w:t xml:space="preserve"> d</w:t>
      </w:r>
      <w:r w:rsidR="001B0A78" w:rsidRPr="00B912A0">
        <w:rPr>
          <w:rFonts w:ascii="Arial" w:eastAsia="Arial" w:hAnsi="Arial" w:cs="Arial"/>
          <w:b/>
          <w:bCs/>
          <w:sz w:val="22"/>
          <w:szCs w:val="22"/>
        </w:rPr>
        <w:t>e passation</w:t>
      </w:r>
      <w:r w:rsidRPr="00B912A0">
        <w:rPr>
          <w:rFonts w:ascii="Arial" w:eastAsia="Arial" w:hAnsi="Arial" w:cs="Arial"/>
          <w:b/>
          <w:bCs/>
          <w:sz w:val="22"/>
          <w:szCs w:val="22"/>
        </w:rPr>
        <w:t xml:space="preserve"> de l’épreuve</w:t>
      </w:r>
    </w:p>
    <w:p w:rsidR="00042178" w:rsidRPr="00B912A0" w:rsidRDefault="00042178" w:rsidP="001B0A78">
      <w:pPr>
        <w:spacing w:before="120"/>
        <w:ind w:left="426" w:hanging="1"/>
        <w:jc w:val="both"/>
        <w:rPr>
          <w:rFonts w:ascii="Arial" w:eastAsia="Arial" w:hAnsi="Arial" w:cs="Arial"/>
          <w:sz w:val="22"/>
          <w:szCs w:val="22"/>
        </w:rPr>
      </w:pPr>
      <w:r w:rsidRPr="00B912A0">
        <w:rPr>
          <w:rFonts w:ascii="Arial" w:eastAsia="Arial" w:hAnsi="Arial" w:cs="Arial"/>
          <w:sz w:val="22"/>
          <w:szCs w:val="22"/>
        </w:rPr>
        <w:t xml:space="preserve">- Chaque candidat(e) dispute </w:t>
      </w:r>
      <w:r w:rsidR="00B912A0">
        <w:rPr>
          <w:rFonts w:ascii="Arial" w:eastAsia="Arial" w:hAnsi="Arial" w:cs="Arial"/>
          <w:sz w:val="22"/>
          <w:szCs w:val="22"/>
        </w:rPr>
        <w:t xml:space="preserve">au moins deux </w:t>
      </w:r>
      <w:r w:rsidRPr="00B912A0">
        <w:rPr>
          <w:rFonts w:ascii="Arial" w:eastAsia="Arial" w:hAnsi="Arial" w:cs="Arial"/>
          <w:sz w:val="22"/>
          <w:szCs w:val="22"/>
        </w:rPr>
        <w:t xml:space="preserve">matchs contre des adversaires de niveau proche dans des poules homogènes. Les matchs se disputent en deux sets de 11 points. Ils sont arbitrés par un joueur de la poule. </w:t>
      </w:r>
    </w:p>
    <w:p w:rsidR="00042178" w:rsidRPr="00B912A0" w:rsidRDefault="00042178" w:rsidP="001B0A78">
      <w:pPr>
        <w:ind w:left="426" w:hanging="1"/>
        <w:jc w:val="both"/>
        <w:rPr>
          <w:rFonts w:ascii="Arial" w:eastAsia="Arial" w:hAnsi="Arial" w:cs="Arial"/>
          <w:sz w:val="22"/>
          <w:szCs w:val="22"/>
        </w:rPr>
      </w:pPr>
      <w:r w:rsidRPr="00B912A0">
        <w:rPr>
          <w:rFonts w:ascii="Arial" w:eastAsia="Arial" w:hAnsi="Arial" w:cs="Arial"/>
          <w:sz w:val="22"/>
          <w:szCs w:val="22"/>
        </w:rPr>
        <w:t>- Les candidats disposent d’un temps d’échauffement d’au moins 15 minutes avant le début de l’épreuve et d’un temps d’échauffement de 2 minutes avant chacun des matchs de la poule.</w:t>
      </w:r>
      <w:r w:rsidR="00406BF2" w:rsidRPr="00B912A0">
        <w:rPr>
          <w:rFonts w:ascii="Arial" w:eastAsia="Arial" w:hAnsi="Arial" w:cs="Arial"/>
          <w:sz w:val="22"/>
          <w:szCs w:val="22"/>
        </w:rPr>
        <w:t xml:space="preserve"> Les candidats sont observés </w:t>
      </w:r>
      <w:r w:rsidR="00D004A5" w:rsidRPr="00B912A0">
        <w:rPr>
          <w:rFonts w:ascii="Arial" w:eastAsia="Arial" w:hAnsi="Arial" w:cs="Arial"/>
          <w:sz w:val="22"/>
          <w:szCs w:val="22"/>
        </w:rPr>
        <w:t xml:space="preserve">et évalués </w:t>
      </w:r>
      <w:r w:rsidR="00406BF2" w:rsidRPr="00B912A0">
        <w:rPr>
          <w:rFonts w:ascii="Arial" w:eastAsia="Arial" w:hAnsi="Arial" w:cs="Arial"/>
          <w:sz w:val="22"/>
          <w:szCs w:val="22"/>
        </w:rPr>
        <w:t xml:space="preserve">durant ces temps d’échauffement. </w:t>
      </w:r>
    </w:p>
    <w:p w:rsidR="00042178" w:rsidRPr="00B912A0" w:rsidRDefault="00042178" w:rsidP="001B0A78">
      <w:pPr>
        <w:ind w:left="426" w:hanging="1"/>
        <w:jc w:val="both"/>
        <w:rPr>
          <w:rFonts w:ascii="Arial" w:eastAsia="Arial" w:hAnsi="Arial" w:cs="Arial"/>
          <w:sz w:val="22"/>
          <w:szCs w:val="22"/>
        </w:rPr>
      </w:pPr>
      <w:r w:rsidRPr="00B912A0">
        <w:rPr>
          <w:rFonts w:ascii="Arial" w:eastAsia="Arial" w:hAnsi="Arial" w:cs="Arial"/>
          <w:sz w:val="22"/>
          <w:szCs w:val="22"/>
        </w:rPr>
        <w:t xml:space="preserve">- Pour chaque rencontre, un temps d’analyse est prévu entre les sets pour permettre aux élèves d’ajuster leur stratégie au contexte d’opposition. </w:t>
      </w:r>
    </w:p>
    <w:p w:rsidR="00042178" w:rsidRDefault="00042178" w:rsidP="00B912A0">
      <w:pPr>
        <w:ind w:left="425"/>
        <w:rPr>
          <w:rFonts w:ascii="Arial" w:eastAsia="Arial" w:hAnsi="Arial" w:cs="Arial"/>
          <w:sz w:val="22"/>
          <w:szCs w:val="22"/>
        </w:rPr>
      </w:pPr>
      <w:r w:rsidRPr="00B912A0">
        <w:rPr>
          <w:rFonts w:ascii="Arial" w:eastAsia="Arial" w:hAnsi="Arial" w:cs="Arial"/>
          <w:sz w:val="22"/>
          <w:szCs w:val="22"/>
        </w:rPr>
        <w:t>- P</w:t>
      </w:r>
      <w:r w:rsidRPr="00B912A0">
        <w:rPr>
          <w:rFonts w:ascii="Arial" w:hAnsi="Arial" w:cs="Arial"/>
          <w:sz w:val="22"/>
          <w:szCs w:val="22"/>
        </w:rPr>
        <w:t>our l</w:t>
      </w:r>
      <w:r w:rsidR="001B0A78" w:rsidRPr="00B912A0">
        <w:rPr>
          <w:rFonts w:ascii="Arial" w:hAnsi="Arial" w:cs="Arial"/>
          <w:sz w:val="22"/>
          <w:szCs w:val="22"/>
        </w:rPr>
        <w:t>’AFL « </w:t>
      </w:r>
      <w:r w:rsidR="001B0A78" w:rsidRPr="00B912A0">
        <w:rPr>
          <w:rFonts w:ascii="Arial" w:eastAsia="Arial" w:hAnsi="Arial" w:cs="Arial"/>
          <w:sz w:val="22"/>
          <w:szCs w:val="22"/>
        </w:rPr>
        <w:t>S’engager pour gagner une rencontre en faisant des choix techniques et tactiques pertinents au regard de l’analyse du rapport de force »</w:t>
      </w:r>
      <w:r w:rsidRPr="00B912A0">
        <w:rPr>
          <w:rFonts w:ascii="Arial" w:hAnsi="Arial" w:cs="Arial"/>
          <w:sz w:val="22"/>
          <w:szCs w:val="22"/>
        </w:rPr>
        <w:t>, l</w:t>
      </w:r>
      <w:r w:rsidRPr="00B912A0">
        <w:rPr>
          <w:rFonts w:ascii="Arial" w:eastAsia="Arial" w:hAnsi="Arial" w:cs="Arial"/>
          <w:sz w:val="22"/>
          <w:szCs w:val="22"/>
        </w:rPr>
        <w:t xml:space="preserve">es </w:t>
      </w:r>
      <w:r w:rsidRPr="00B912A0">
        <w:rPr>
          <w:rFonts w:ascii="Arial" w:hAnsi="Arial" w:cs="Arial"/>
          <w:sz w:val="22"/>
          <w:szCs w:val="22"/>
        </w:rPr>
        <w:t xml:space="preserve">évaluateurs positionnent l’élève dans un degré puis ajustent la note en fonction </w:t>
      </w:r>
      <w:r w:rsidRPr="00B912A0">
        <w:rPr>
          <w:rFonts w:ascii="Arial" w:eastAsia="Arial" w:hAnsi="Arial" w:cs="Arial"/>
          <w:sz w:val="22"/>
          <w:szCs w:val="22"/>
        </w:rPr>
        <w:t>de la proportion des oppositions gagnées</w:t>
      </w:r>
      <w:r w:rsidR="001B0A78" w:rsidRPr="00B912A0">
        <w:rPr>
          <w:rFonts w:ascii="Arial" w:eastAsia="Arial" w:hAnsi="Arial" w:cs="Arial"/>
          <w:sz w:val="22"/>
          <w:szCs w:val="22"/>
        </w:rPr>
        <w:t xml:space="preserve"> dans la poule</w:t>
      </w:r>
      <w:r w:rsidRPr="00B912A0">
        <w:rPr>
          <w:rFonts w:ascii="Arial" w:eastAsia="Arial" w:hAnsi="Arial" w:cs="Arial"/>
          <w:sz w:val="22"/>
          <w:szCs w:val="22"/>
        </w:rPr>
        <w:t>.</w:t>
      </w:r>
    </w:p>
    <w:p w:rsidR="00B912A0" w:rsidRDefault="00B912A0" w:rsidP="00B912A0">
      <w:pPr>
        <w:ind w:lef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</w:t>
      </w:r>
      <w:r w:rsidRPr="00B912A0">
        <w:rPr>
          <w:rFonts w:ascii="Arial" w:hAnsi="Arial" w:cs="Arial"/>
          <w:sz w:val="22"/>
          <w:szCs w:val="22"/>
        </w:rPr>
        <w:t>’AFL « </w:t>
      </w:r>
      <w:r w:rsidRPr="00B912A0">
        <w:rPr>
          <w:rFonts w:ascii="Arial" w:eastAsia="Arial" w:hAnsi="Arial" w:cs="Arial"/>
          <w:sz w:val="22"/>
          <w:szCs w:val="22"/>
        </w:rPr>
        <w:t>S’engager pour gagner une rencontre en faisant des choix techniques et tactiques pertinents au regard de l’analyse du rapport de force »</w:t>
      </w:r>
      <w:r w:rsidRPr="00B912A0">
        <w:rPr>
          <w:rFonts w:ascii="Arial" w:hAnsi="Arial" w:cs="Arial"/>
          <w:sz w:val="22"/>
          <w:szCs w:val="22"/>
        </w:rPr>
        <w:t xml:space="preserve">, </w:t>
      </w:r>
      <w:r w:rsidR="008F5890">
        <w:rPr>
          <w:rFonts w:ascii="Arial" w:hAnsi="Arial" w:cs="Arial"/>
          <w:sz w:val="22"/>
          <w:szCs w:val="22"/>
        </w:rPr>
        <w:t>permet d’</w:t>
      </w:r>
      <w:r>
        <w:rPr>
          <w:rFonts w:ascii="Arial" w:hAnsi="Arial" w:cs="Arial"/>
          <w:sz w:val="22"/>
          <w:szCs w:val="22"/>
        </w:rPr>
        <w:t>évalue</w:t>
      </w:r>
      <w:r w:rsidR="008F589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le niveau technique et tactique du candidat</w:t>
      </w:r>
      <w:r w:rsidR="008F5890">
        <w:rPr>
          <w:rFonts w:ascii="Arial" w:hAnsi="Arial" w:cs="Arial"/>
          <w:sz w:val="22"/>
          <w:szCs w:val="22"/>
        </w:rPr>
        <w:t xml:space="preserve"> lors de matchs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912A0" w:rsidRPr="00B912A0" w:rsidRDefault="00B912A0" w:rsidP="001B0A78">
      <w:pPr>
        <w:spacing w:after="120"/>
        <w:ind w:left="426" w:hanging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L</w:t>
      </w:r>
      <w:r w:rsidRPr="00B912A0">
        <w:rPr>
          <w:rFonts w:ascii="Arial" w:hAnsi="Arial" w:cs="Arial"/>
          <w:sz w:val="22"/>
          <w:szCs w:val="22"/>
        </w:rPr>
        <w:t>’AFL « </w:t>
      </w:r>
      <w:r>
        <w:rPr>
          <w:rFonts w:ascii="Arial" w:hAnsi="Arial" w:cs="Arial"/>
          <w:sz w:val="22"/>
          <w:szCs w:val="22"/>
        </w:rPr>
        <w:t xml:space="preserve">Se préparer et s’entraîner / Assumer des rôles » </w:t>
      </w:r>
      <w:r w:rsidR="008F5890">
        <w:rPr>
          <w:rFonts w:ascii="Arial" w:hAnsi="Arial" w:cs="Arial"/>
          <w:sz w:val="22"/>
          <w:szCs w:val="22"/>
        </w:rPr>
        <w:t>permet d’</w:t>
      </w:r>
      <w:r>
        <w:rPr>
          <w:rFonts w:ascii="Arial" w:hAnsi="Arial" w:cs="Arial"/>
          <w:sz w:val="22"/>
          <w:szCs w:val="22"/>
        </w:rPr>
        <w:t>évalue</w:t>
      </w:r>
      <w:r w:rsidR="008F589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la capacité du candidat à s</w:t>
      </w:r>
      <w:r w:rsidR="008F5890">
        <w:rPr>
          <w:rFonts w:ascii="Arial" w:hAnsi="Arial" w:cs="Arial"/>
          <w:sz w:val="22"/>
          <w:szCs w:val="22"/>
        </w:rPr>
        <w:t>e préparer à un match par un échauffement adapté</w:t>
      </w:r>
      <w:r w:rsidR="00EB3EEC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8F5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</w:t>
      </w:r>
      <w:r w:rsidR="008F5890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 xml:space="preserve">arbitrer. </w:t>
      </w:r>
    </w:p>
    <w:p w:rsidR="001B0A78" w:rsidRPr="00B912A0" w:rsidRDefault="001B0A78" w:rsidP="001B0A78">
      <w:pPr>
        <w:rPr>
          <w:rFonts w:ascii="Arial" w:hAnsi="Arial" w:cs="Arial"/>
          <w:sz w:val="22"/>
          <w:szCs w:val="22"/>
        </w:rPr>
      </w:pPr>
    </w:p>
    <w:p w:rsidR="001B0A78" w:rsidRPr="00B912A0" w:rsidRDefault="001B0A78" w:rsidP="001B0A78">
      <w:pPr>
        <w:rPr>
          <w:rFonts w:ascii="Arial" w:hAnsi="Arial" w:cs="Arial"/>
        </w:rPr>
        <w:sectPr w:rsidR="001B0A78" w:rsidRPr="00B912A0" w:rsidSect="003C5E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080" w:bottom="1440" w:left="1080" w:header="709" w:footer="709" w:gutter="0"/>
          <w:pgNumType w:start="1"/>
          <w:cols w:space="720"/>
          <w:docGrid w:linePitch="326"/>
        </w:sect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2029"/>
        <w:gridCol w:w="828"/>
        <w:gridCol w:w="2407"/>
        <w:gridCol w:w="2647"/>
        <w:gridCol w:w="2522"/>
        <w:gridCol w:w="2680"/>
        <w:gridCol w:w="2622"/>
      </w:tblGrid>
      <w:tr w:rsidR="001B0A78" w:rsidRPr="00B912A0" w:rsidTr="001B0A78">
        <w:tc>
          <w:tcPr>
            <w:tcW w:w="2032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lastRenderedPageBreak/>
              <w:t>AFL évalués</w:t>
            </w:r>
          </w:p>
        </w:tc>
        <w:tc>
          <w:tcPr>
            <w:tcW w:w="802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t>Points</w:t>
            </w:r>
          </w:p>
        </w:tc>
        <w:tc>
          <w:tcPr>
            <w:tcW w:w="2411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t>Éléments à évaluer</w:t>
            </w:r>
          </w:p>
        </w:tc>
        <w:tc>
          <w:tcPr>
            <w:tcW w:w="2652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t xml:space="preserve">Degré 1 </w:t>
            </w:r>
          </w:p>
        </w:tc>
        <w:tc>
          <w:tcPr>
            <w:tcW w:w="2526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t xml:space="preserve">Degré 2 </w:t>
            </w:r>
          </w:p>
        </w:tc>
        <w:tc>
          <w:tcPr>
            <w:tcW w:w="2685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t xml:space="preserve">Degré 3 </w:t>
            </w:r>
          </w:p>
        </w:tc>
        <w:tc>
          <w:tcPr>
            <w:tcW w:w="2627" w:type="dxa"/>
            <w:vAlign w:val="center"/>
          </w:tcPr>
          <w:p w:rsidR="009D0C41" w:rsidRPr="00B912A0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2A0">
              <w:rPr>
                <w:rFonts w:ascii="Arial" w:hAnsi="Arial" w:cs="Arial"/>
                <w:b/>
                <w:sz w:val="20"/>
              </w:rPr>
              <w:t xml:space="preserve">Degré 4 </w:t>
            </w:r>
          </w:p>
        </w:tc>
      </w:tr>
      <w:tr w:rsidR="001B0A78" w:rsidRPr="00B912A0" w:rsidTr="001B0A78">
        <w:trPr>
          <w:trHeight w:val="1608"/>
        </w:trPr>
        <w:tc>
          <w:tcPr>
            <w:tcW w:w="2032" w:type="dxa"/>
            <w:vMerge w:val="restart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2A0">
              <w:rPr>
                <w:rFonts w:ascii="Arial" w:eastAsia="Arial" w:hAnsi="Arial" w:cs="Arial"/>
              </w:rPr>
              <w:t>S’engager pour gagner une rencontre en faisant des choix techniques et tactiques pertinents au regard de l’analyse du rapport de force</w:t>
            </w:r>
          </w:p>
        </w:tc>
        <w:tc>
          <w:tcPr>
            <w:tcW w:w="802" w:type="dxa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A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 w:rsidR="001B0A78" w:rsidRPr="00B912A0" w:rsidRDefault="001B0A78" w:rsidP="00B91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S’engager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 et réaliser des actions techniques d’attaque et de défense </w:t>
            </w:r>
            <w:r w:rsidRPr="00B91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 relation avec son projet de jeu</w:t>
            </w:r>
          </w:p>
        </w:tc>
        <w:tc>
          <w:tcPr>
            <w:tcW w:w="2652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De nombreuses fautes en coup droit et en revers, pas de coup préférentiel efficace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Le service est une simple mise en jeu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Peu voire pas de déplacements 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0-2 pts</w:t>
            </w:r>
          </w:p>
        </w:tc>
        <w:tc>
          <w:tcPr>
            <w:tcW w:w="2526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Utilisation efficace d’un coup préférentiel d’attaque ou de défense, en coup droit ou en revers 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Le service neutralise l’attaque adverse 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Déplacements réactifs et en retard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2,5-4 pts</w:t>
            </w:r>
          </w:p>
        </w:tc>
        <w:tc>
          <w:tcPr>
            <w:tcW w:w="2685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Organisation des coups techniques dans un système de jeu préférentiel d’attaque (smashs, effets liftés, services rapides) ou de défense (bloc, effet coupé, défense haute)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Variété des services utilisés (différents placements, vitesses ou effets)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Déplacements adaptés à la trajectoire de balle reçue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4,5-6 pts</w:t>
            </w:r>
          </w:p>
        </w:tc>
        <w:tc>
          <w:tcPr>
            <w:tcW w:w="2627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Efficacité technique et tactique en attaque et en défense grâce à la maîtrise d’un large panel de coups (smashs, blocs, effets coupés et lifté)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Le service permet de créer des occasions de marque (schémas tactiques à partir du service)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Déplacements variés et replacements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6,5-8 pts</w:t>
            </w:r>
          </w:p>
        </w:tc>
      </w:tr>
      <w:tr w:rsidR="001B0A78" w:rsidRPr="00B912A0" w:rsidTr="001B0A78">
        <w:tc>
          <w:tcPr>
            <w:tcW w:w="2032" w:type="dxa"/>
            <w:vMerge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A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Faire des choix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 au regard de l’analyse du rapport de force</w:t>
            </w:r>
          </w:p>
        </w:tc>
        <w:tc>
          <w:tcPr>
            <w:tcW w:w="2652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Le projet de jeu du candidat ne permet ni d’exploiter un coup fort, ni de d’exploiter une faiblesse de son adversaire, ni de contrer un coup fort de l’adversaire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0-1,5 pts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Le candidat </w:t>
            </w:r>
            <w:r w:rsidR="0014225B" w:rsidRPr="00B912A0">
              <w:rPr>
                <w:rFonts w:ascii="Arial" w:eastAsia="Arial" w:hAnsi="Arial" w:cs="Arial"/>
                <w:sz w:val="20"/>
                <w:szCs w:val="20"/>
              </w:rPr>
              <w:t>adopte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 un projet de jeu permettant soit d’exploiter un coup fort, soit d’exploiter une faiblesse de l’adversaire, soit de contrer un coup fort de l’adversaire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2-3 pts</w:t>
            </w:r>
          </w:p>
        </w:tc>
        <w:tc>
          <w:tcPr>
            <w:tcW w:w="2685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Le candidat </w:t>
            </w:r>
            <w:r w:rsidR="0014225B" w:rsidRPr="00B912A0">
              <w:rPr>
                <w:rFonts w:ascii="Arial" w:eastAsia="Arial" w:hAnsi="Arial" w:cs="Arial"/>
                <w:sz w:val="20"/>
                <w:szCs w:val="20"/>
              </w:rPr>
              <w:t>adopte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 un projet de jeu combinant deux éléments parmi : exploiter ses propres coups forts, exploiter les faiblesses de l’adversaires, contrer les coups forts de l’adversaire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3,5-4,5 pts</w:t>
            </w:r>
          </w:p>
        </w:tc>
        <w:tc>
          <w:tcPr>
            <w:tcW w:w="2627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Le candidat </w:t>
            </w:r>
            <w:r w:rsidR="0014225B" w:rsidRPr="00B912A0">
              <w:rPr>
                <w:rFonts w:ascii="Arial" w:eastAsia="Arial" w:hAnsi="Arial" w:cs="Arial"/>
                <w:sz w:val="20"/>
                <w:szCs w:val="20"/>
              </w:rPr>
              <w:t>adopte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 un projet de jeu combinant deux éléments 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Il adapte son projet de jeu au cours même du set en fonction de l’évolution du rapport d’opposition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Calibri" w:hAnsi="Arial" w:cs="Arial"/>
                <w:sz w:val="20"/>
                <w:szCs w:val="20"/>
              </w:rPr>
              <w:t>5-6 pts</w:t>
            </w:r>
          </w:p>
        </w:tc>
      </w:tr>
      <w:tr w:rsidR="001B0A78" w:rsidRPr="00B912A0" w:rsidTr="001B0A78">
        <w:tc>
          <w:tcPr>
            <w:tcW w:w="2032" w:type="dxa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eastAsia="Arial" w:hAnsi="Arial" w:cs="Arial"/>
              </w:rPr>
            </w:pPr>
            <w:r w:rsidRPr="00B912A0">
              <w:rPr>
                <w:rFonts w:ascii="Arial" w:eastAsia="Arial" w:hAnsi="Arial" w:cs="Arial"/>
              </w:rPr>
              <w:t>Se préparer et s’entraîner</w:t>
            </w:r>
          </w:p>
          <w:p w:rsidR="001B0A78" w:rsidRPr="00B912A0" w:rsidRDefault="001B0A78" w:rsidP="001B0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2A0">
              <w:rPr>
                <w:rFonts w:ascii="Arial" w:hAnsi="Arial" w:cs="Arial"/>
              </w:rPr>
              <w:t>Assumer des rôles</w:t>
            </w:r>
          </w:p>
        </w:tc>
        <w:tc>
          <w:tcPr>
            <w:tcW w:w="802" w:type="dxa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2A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1B0A78" w:rsidRPr="00B912A0" w:rsidRDefault="001B0A78" w:rsidP="001B0A7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Échauffement </w:t>
            </w:r>
          </w:p>
          <w:p w:rsidR="00D004A5" w:rsidRPr="00B912A0" w:rsidRDefault="00D004A5" w:rsidP="001B0A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12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Arbitrage</w:t>
            </w:r>
          </w:p>
        </w:tc>
        <w:tc>
          <w:tcPr>
            <w:tcW w:w="2652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Le candidat s’échauffe avec peu de sérieux 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Il est peu attentif et fait des erreurs dans le suivi du score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0-1,5 pts</w:t>
            </w:r>
          </w:p>
        </w:tc>
        <w:tc>
          <w:tcPr>
            <w:tcW w:w="2526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 xml:space="preserve">Le candidat s’échauffe avec sérieux en réalisant les exercices proposés par son adversaire 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Il arbitre avec sérieux mais présente quelques hésitations (changement de service par exemple)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2-3 pts</w:t>
            </w:r>
          </w:p>
        </w:tc>
        <w:tc>
          <w:tcPr>
            <w:tcW w:w="2685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Le candidat s’échauffe avec sérieux en proposant d</w:t>
            </w:r>
            <w:r w:rsidR="003C5EFA" w:rsidRPr="00B912A0">
              <w:rPr>
                <w:rFonts w:ascii="Arial" w:eastAsia="Arial" w:hAnsi="Arial" w:cs="Arial"/>
                <w:sz w:val="20"/>
                <w:szCs w:val="20"/>
              </w:rPr>
              <w:t>iver</w:t>
            </w:r>
            <w:r w:rsidRPr="00B912A0">
              <w:rPr>
                <w:rFonts w:ascii="Arial" w:eastAsia="Arial" w:hAnsi="Arial" w:cs="Arial"/>
                <w:sz w:val="20"/>
                <w:szCs w:val="20"/>
              </w:rPr>
              <w:t>s exercices à son adversaire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Il arbitre sans erreur et sans hésitation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3,5-4 pts</w:t>
            </w:r>
          </w:p>
        </w:tc>
        <w:tc>
          <w:tcPr>
            <w:tcW w:w="2627" w:type="dxa"/>
            <w:vAlign w:val="center"/>
          </w:tcPr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Le candidat s’échauffe avec sérieux et pertinence (gammes pour l’ensemble des coups techniques maîtrisés)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Il arbitre sans erreur et fait respecter le règlement (en rappelant au besoin les règles)</w:t>
            </w:r>
          </w:p>
          <w:p w:rsidR="001B0A78" w:rsidRPr="00B912A0" w:rsidRDefault="001B0A78" w:rsidP="001B0A78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2A0">
              <w:rPr>
                <w:rFonts w:ascii="Arial" w:eastAsia="Arial" w:hAnsi="Arial" w:cs="Arial"/>
                <w:sz w:val="20"/>
                <w:szCs w:val="20"/>
              </w:rPr>
              <w:t>5-6 pts</w:t>
            </w:r>
          </w:p>
        </w:tc>
      </w:tr>
    </w:tbl>
    <w:p w:rsidR="009D0C41" w:rsidRPr="00B912A0" w:rsidRDefault="009D0C41" w:rsidP="001B0A78">
      <w:pPr>
        <w:rPr>
          <w:rFonts w:ascii="Arial" w:hAnsi="Arial" w:cs="Arial"/>
          <w:b/>
        </w:rPr>
      </w:pPr>
    </w:p>
    <w:sectPr w:rsidR="009D0C41" w:rsidRPr="00B912A0" w:rsidSect="003C5EFA">
      <w:pgSz w:w="16838" w:h="11906" w:orient="landscape" w:code="9"/>
      <w:pgMar w:top="567" w:right="1077" w:bottom="567" w:left="79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15" w:rsidRDefault="00403215">
      <w:r>
        <w:separator/>
      </w:r>
    </w:p>
  </w:endnote>
  <w:endnote w:type="continuationSeparator" w:id="0">
    <w:p w:rsidR="00403215" w:rsidRDefault="004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15" w:rsidRDefault="00403215">
      <w:r>
        <w:separator/>
      </w:r>
    </w:p>
  </w:footnote>
  <w:footnote w:type="continuationSeparator" w:id="0">
    <w:p w:rsidR="00403215" w:rsidRDefault="0040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232"/>
    <w:multiLevelType w:val="hybridMultilevel"/>
    <w:tmpl w:val="F32C74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0650D"/>
    <w:multiLevelType w:val="hybridMultilevel"/>
    <w:tmpl w:val="62FE1700"/>
    <w:lvl w:ilvl="0" w:tplc="3EB401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1383"/>
    <w:multiLevelType w:val="hybridMultilevel"/>
    <w:tmpl w:val="09E61D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31431"/>
    <w:multiLevelType w:val="hybridMultilevel"/>
    <w:tmpl w:val="A2E603EC"/>
    <w:lvl w:ilvl="0" w:tplc="3BA8E43E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352D"/>
    <w:multiLevelType w:val="hybridMultilevel"/>
    <w:tmpl w:val="4B2A12C4"/>
    <w:lvl w:ilvl="0" w:tplc="01CE76D6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56F500D"/>
    <w:multiLevelType w:val="hybridMultilevel"/>
    <w:tmpl w:val="4308E2F8"/>
    <w:lvl w:ilvl="0" w:tplc="AAB68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3692"/>
    <w:multiLevelType w:val="hybridMultilevel"/>
    <w:tmpl w:val="664AA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42276"/>
    <w:multiLevelType w:val="hybridMultilevel"/>
    <w:tmpl w:val="9D94A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53"/>
    <w:rsid w:val="00001E3E"/>
    <w:rsid w:val="000332E7"/>
    <w:rsid w:val="00042178"/>
    <w:rsid w:val="00043E8A"/>
    <w:rsid w:val="000865CB"/>
    <w:rsid w:val="000B7ED8"/>
    <w:rsid w:val="00104A51"/>
    <w:rsid w:val="00127A9F"/>
    <w:rsid w:val="00136EF6"/>
    <w:rsid w:val="0014225B"/>
    <w:rsid w:val="00184404"/>
    <w:rsid w:val="00191F8A"/>
    <w:rsid w:val="00195B05"/>
    <w:rsid w:val="001B0A78"/>
    <w:rsid w:val="001B11FF"/>
    <w:rsid w:val="001C025A"/>
    <w:rsid w:val="001F6EC7"/>
    <w:rsid w:val="0022128B"/>
    <w:rsid w:val="002237C8"/>
    <w:rsid w:val="0022505E"/>
    <w:rsid w:val="00275DEC"/>
    <w:rsid w:val="00281B0E"/>
    <w:rsid w:val="0028549C"/>
    <w:rsid w:val="002C4718"/>
    <w:rsid w:val="002D0BF2"/>
    <w:rsid w:val="00302A9B"/>
    <w:rsid w:val="00382A36"/>
    <w:rsid w:val="00384DBF"/>
    <w:rsid w:val="003865DD"/>
    <w:rsid w:val="003C5EFA"/>
    <w:rsid w:val="003C6CCD"/>
    <w:rsid w:val="003F6794"/>
    <w:rsid w:val="00403215"/>
    <w:rsid w:val="00406BF2"/>
    <w:rsid w:val="004161B7"/>
    <w:rsid w:val="004215E8"/>
    <w:rsid w:val="00421B53"/>
    <w:rsid w:val="004D0505"/>
    <w:rsid w:val="004E7E7B"/>
    <w:rsid w:val="00516D80"/>
    <w:rsid w:val="00554E83"/>
    <w:rsid w:val="005615BB"/>
    <w:rsid w:val="00561C77"/>
    <w:rsid w:val="00595467"/>
    <w:rsid w:val="005B626B"/>
    <w:rsid w:val="005B63E8"/>
    <w:rsid w:val="005C3AAA"/>
    <w:rsid w:val="005D7736"/>
    <w:rsid w:val="005F501E"/>
    <w:rsid w:val="00610E2C"/>
    <w:rsid w:val="006463E0"/>
    <w:rsid w:val="00701156"/>
    <w:rsid w:val="0071598F"/>
    <w:rsid w:val="00726FAE"/>
    <w:rsid w:val="0074167D"/>
    <w:rsid w:val="0079711F"/>
    <w:rsid w:val="007A54E8"/>
    <w:rsid w:val="007E79F7"/>
    <w:rsid w:val="00837E8A"/>
    <w:rsid w:val="008A4539"/>
    <w:rsid w:val="008C4739"/>
    <w:rsid w:val="008D5CD6"/>
    <w:rsid w:val="008F0DE3"/>
    <w:rsid w:val="008F5890"/>
    <w:rsid w:val="00900BCA"/>
    <w:rsid w:val="0090549D"/>
    <w:rsid w:val="009D0C41"/>
    <w:rsid w:val="009F3E76"/>
    <w:rsid w:val="00A66A41"/>
    <w:rsid w:val="00A700FB"/>
    <w:rsid w:val="00A92928"/>
    <w:rsid w:val="00AA32CA"/>
    <w:rsid w:val="00B03A8C"/>
    <w:rsid w:val="00B46BF4"/>
    <w:rsid w:val="00B5222F"/>
    <w:rsid w:val="00B53E65"/>
    <w:rsid w:val="00B70616"/>
    <w:rsid w:val="00B912A0"/>
    <w:rsid w:val="00BB6E98"/>
    <w:rsid w:val="00BC015C"/>
    <w:rsid w:val="00C07400"/>
    <w:rsid w:val="00C230E3"/>
    <w:rsid w:val="00C26E90"/>
    <w:rsid w:val="00C34171"/>
    <w:rsid w:val="00C73AA5"/>
    <w:rsid w:val="00CA5C47"/>
    <w:rsid w:val="00CF11DE"/>
    <w:rsid w:val="00CF6F96"/>
    <w:rsid w:val="00D004A5"/>
    <w:rsid w:val="00D16A18"/>
    <w:rsid w:val="00D332C8"/>
    <w:rsid w:val="00D53697"/>
    <w:rsid w:val="00D558BF"/>
    <w:rsid w:val="00D61F34"/>
    <w:rsid w:val="00D76099"/>
    <w:rsid w:val="00D907DE"/>
    <w:rsid w:val="00DA278F"/>
    <w:rsid w:val="00DA78F2"/>
    <w:rsid w:val="00DB7C00"/>
    <w:rsid w:val="00DC1A38"/>
    <w:rsid w:val="00E05C95"/>
    <w:rsid w:val="00E07424"/>
    <w:rsid w:val="00E213D9"/>
    <w:rsid w:val="00E51898"/>
    <w:rsid w:val="00EA03E8"/>
    <w:rsid w:val="00EB1CEC"/>
    <w:rsid w:val="00EB3EEC"/>
    <w:rsid w:val="00ED1186"/>
    <w:rsid w:val="00ED5841"/>
    <w:rsid w:val="00F121DA"/>
    <w:rsid w:val="00F34217"/>
    <w:rsid w:val="00F408EC"/>
    <w:rsid w:val="00F45E4E"/>
    <w:rsid w:val="00F87455"/>
    <w:rsid w:val="00FA13B8"/>
    <w:rsid w:val="00FA6917"/>
    <w:rsid w:val="00FB0705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796DA"/>
  <w15:docId w15:val="{E126554B-50A6-9247-AD50-986F00D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Times" w:eastAsia="Times" w:hAnsi="Times" w:cs="Times"/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" w:eastAsia="Times" w:hAnsi="Times" w:cs="Times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37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7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49C"/>
    <w:pPr>
      <w:ind w:left="720"/>
      <w:contextualSpacing/>
    </w:pPr>
  </w:style>
  <w:style w:type="paragraph" w:styleId="Sansinterligne">
    <w:name w:val="No Spacing"/>
    <w:uiPriority w:val="1"/>
    <w:qFormat/>
    <w:rsid w:val="009D0C41"/>
    <w:rPr>
      <w:rFonts w:ascii="Times" w:eastAsia="Times" w:hAnsi="Times"/>
      <w:szCs w:val="20"/>
    </w:rPr>
  </w:style>
  <w:style w:type="table" w:styleId="Grilledutableau">
    <w:name w:val="Table Grid"/>
    <w:basedOn w:val="TableauNormal"/>
    <w:uiPriority w:val="39"/>
    <w:rsid w:val="009D0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6A63-389B-4DA1-B513-1E7721C2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carole seve</cp:lastModifiedBy>
  <cp:revision>3</cp:revision>
  <cp:lastPrinted>2019-05-07T11:55:00Z</cp:lastPrinted>
  <dcterms:created xsi:type="dcterms:W3CDTF">2019-07-04T10:01:00Z</dcterms:created>
  <dcterms:modified xsi:type="dcterms:W3CDTF">2019-07-04T10:28:00Z</dcterms:modified>
</cp:coreProperties>
</file>